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4F963" w14:textId="6E753D58" w:rsidR="001A49AA" w:rsidRPr="00F13BAC" w:rsidRDefault="00415CAB" w:rsidP="001A49AA">
      <w:pPr>
        <w:spacing w:line="360" w:lineRule="auto"/>
        <w:jc w:val="center"/>
        <w:rPr>
          <w:rFonts w:ascii="Times New Roman" w:eastAsiaTheme="minorEastAsia" w:hAnsi="Times New Roman" w:cs="Times New Roman"/>
          <w:bCs/>
          <w:kern w:val="2"/>
          <w:sz w:val="28"/>
          <w:szCs w:val="28"/>
        </w:rPr>
      </w:pPr>
      <w:r w:rsidRPr="00415CAB">
        <w:rPr>
          <w:rFonts w:ascii="Times New Roman" w:hAnsi="Times New Roman" w:cs="Times New Roman"/>
          <w:b/>
          <w:sz w:val="36"/>
          <w:szCs w:val="36"/>
        </w:rPr>
        <w:t>Assessment of redundant meta-analyses on catheter ablation of atrial fibrillation in patients with heart failure</w:t>
      </w:r>
    </w:p>
    <w:p w14:paraId="245D8115" w14:textId="322DD128" w:rsidR="005778FA" w:rsidRPr="00F13BAC" w:rsidRDefault="005778FA" w:rsidP="001A49AA">
      <w:pPr>
        <w:spacing w:line="360" w:lineRule="auto"/>
        <w:jc w:val="center"/>
        <w:rPr>
          <w:rFonts w:ascii="Times New Roman" w:eastAsiaTheme="minorEastAsia" w:hAnsi="Times New Roman" w:cs="Times New Roman"/>
          <w:bCs/>
          <w:kern w:val="2"/>
          <w:sz w:val="28"/>
          <w:szCs w:val="28"/>
        </w:rPr>
      </w:pPr>
    </w:p>
    <w:p w14:paraId="6EBA6EFA" w14:textId="660CEEE9" w:rsidR="001A49AA" w:rsidRPr="00F13BAC" w:rsidRDefault="001A49AA" w:rsidP="001A49AA">
      <w:pPr>
        <w:spacing w:line="360" w:lineRule="auto"/>
        <w:rPr>
          <w:rFonts w:ascii="Times New Roman" w:hAnsi="Times New Roman" w:cs="Times New Roman"/>
        </w:rPr>
      </w:pPr>
    </w:p>
    <w:p w14:paraId="1CB7F28E" w14:textId="4B420D2A" w:rsidR="001A49AA" w:rsidRPr="00F13BAC" w:rsidRDefault="00AB1C61" w:rsidP="001A49AA">
      <w:pPr>
        <w:spacing w:line="360" w:lineRule="auto"/>
        <w:rPr>
          <w:rFonts w:ascii="Times New Roman" w:hAnsi="Times New Roman" w:cs="Times New Roman"/>
          <w:b/>
          <w:bCs/>
        </w:rPr>
      </w:pPr>
      <w:r w:rsidRPr="00F13BAC">
        <w:rPr>
          <w:rFonts w:ascii="Times New Roman" w:hAnsi="Times New Roman" w:cs="Times New Roman"/>
          <w:b/>
          <w:bCs/>
        </w:rPr>
        <w:t>Supplementary</w:t>
      </w:r>
      <w:r w:rsidR="001A49AA" w:rsidRPr="00F13BAC">
        <w:rPr>
          <w:rFonts w:ascii="Times New Roman" w:hAnsi="Times New Roman" w:cs="Times New Roman"/>
          <w:b/>
          <w:bCs/>
        </w:rPr>
        <w:t xml:space="preserve"> files</w:t>
      </w:r>
      <w:r w:rsidRPr="00F13BAC">
        <w:rPr>
          <w:rFonts w:ascii="Times New Roman" w:hAnsi="Times New Roman" w:cs="Times New Roman"/>
          <w:b/>
          <w:bCs/>
        </w:rPr>
        <w:t xml:space="preserve">: </w:t>
      </w:r>
    </w:p>
    <w:p w14:paraId="5FB33B4D" w14:textId="62FEDA41" w:rsidR="00A44934" w:rsidRPr="00F13BAC" w:rsidRDefault="00A44934" w:rsidP="00A44934">
      <w:pPr>
        <w:spacing w:line="360" w:lineRule="auto"/>
        <w:rPr>
          <w:rFonts w:ascii="Times New Roman" w:hAnsi="Times New Roman" w:cs="Times New Roman"/>
        </w:rPr>
      </w:pPr>
      <w:r w:rsidRPr="00F13BAC">
        <w:rPr>
          <w:rFonts w:ascii="Times New Roman" w:hAnsi="Times New Roman" w:cs="Times New Roman"/>
        </w:rPr>
        <w:t>Supplementary Table 1</w:t>
      </w:r>
      <w:r w:rsidR="001A49AA" w:rsidRPr="00F13BAC">
        <w:rPr>
          <w:rFonts w:ascii="Times New Roman" w:hAnsi="Times New Roman" w:cs="Times New Roman"/>
        </w:rPr>
        <w:t>.</w:t>
      </w:r>
      <w:r w:rsidRPr="00F13BAC">
        <w:rPr>
          <w:rFonts w:ascii="Times New Roman" w:hAnsi="Times New Roman" w:cs="Times New Roman"/>
        </w:rPr>
        <w:t xml:space="preserve"> Search strategy and results</w:t>
      </w:r>
      <w:r w:rsidR="00705C01" w:rsidRPr="00F13BAC">
        <w:rPr>
          <w:rFonts w:ascii="Times New Roman" w:hAnsi="Times New Roman" w:cs="Times New Roman"/>
        </w:rPr>
        <w:t>.</w:t>
      </w:r>
    </w:p>
    <w:p w14:paraId="1AE9D911" w14:textId="1E27DEB9" w:rsidR="001A49AA" w:rsidRPr="00F13BAC" w:rsidRDefault="004F2C7C" w:rsidP="001A49AA">
      <w:pPr>
        <w:spacing w:line="360" w:lineRule="auto"/>
        <w:rPr>
          <w:rFonts w:ascii="Times New Roman" w:hAnsi="Times New Roman" w:cs="Times New Roman"/>
        </w:rPr>
      </w:pPr>
      <w:r w:rsidRPr="00F13BAC">
        <w:rPr>
          <w:rFonts w:ascii="Times New Roman" w:hAnsi="Times New Roman" w:cs="Times New Roman"/>
        </w:rPr>
        <w:t>Supplementary Table 2</w:t>
      </w:r>
      <w:r w:rsidR="00775428" w:rsidRPr="00F13BAC">
        <w:rPr>
          <w:rFonts w:ascii="Times New Roman" w:hAnsi="Times New Roman" w:cs="Times New Roman"/>
        </w:rPr>
        <w:t>. Study characteristics of 10 RCTs on catheter ablation in patients with AF and HF</w:t>
      </w:r>
      <w:r w:rsidR="00482C8A">
        <w:rPr>
          <w:rFonts w:ascii="Times New Roman" w:hAnsi="Times New Roman" w:cs="Times New Roman"/>
        </w:rPr>
        <w:t>.</w:t>
      </w:r>
    </w:p>
    <w:p w14:paraId="54C4D0AD" w14:textId="7A981647" w:rsidR="0043668C" w:rsidRPr="00482C8A" w:rsidRDefault="0043668C" w:rsidP="001A49AA">
      <w:pPr>
        <w:spacing w:line="360" w:lineRule="auto"/>
        <w:rPr>
          <w:rFonts w:ascii="Times New Roman" w:hAnsi="Times New Roman" w:cs="Times New Roman"/>
          <w:szCs w:val="22"/>
        </w:rPr>
      </w:pPr>
      <w:r w:rsidRPr="00F13BAC">
        <w:rPr>
          <w:rFonts w:ascii="Times New Roman" w:hAnsi="Times New Roman" w:cs="Times New Roman"/>
        </w:rPr>
        <w:t>Supplementary Table 3.</w:t>
      </w:r>
      <w:r w:rsidR="00482C8A">
        <w:rPr>
          <w:rFonts w:ascii="Times New Roman" w:hAnsi="Times New Roman" w:cs="Times New Roman"/>
        </w:rPr>
        <w:t xml:space="preserve"> Th</w:t>
      </w:r>
      <w:r w:rsidR="00482C8A" w:rsidRPr="00482C8A">
        <w:rPr>
          <w:rFonts w:ascii="Times New Roman" w:hAnsi="Times New Roman" w:cs="Times New Roman"/>
        </w:rPr>
        <w:t>e recommendations of most-impact guidelines on AF catheter ablation in patients with HF</w:t>
      </w:r>
      <w:r w:rsidR="00482C8A">
        <w:rPr>
          <w:rFonts w:ascii="Times New Roman" w:hAnsi="Times New Roman" w:cs="Times New Roman"/>
        </w:rPr>
        <w:t>.</w:t>
      </w:r>
    </w:p>
    <w:p w14:paraId="7C30C034" w14:textId="0A52A8FE" w:rsidR="001A49AA" w:rsidRPr="00F13BAC" w:rsidRDefault="001A49AA" w:rsidP="00F24022">
      <w:pPr>
        <w:rPr>
          <w:rFonts w:ascii="Times New Roman" w:hAnsi="Times New Roman" w:cs="Times New Roman"/>
        </w:rPr>
        <w:sectPr w:rsidR="001A49AA" w:rsidRPr="00F13BAC" w:rsidSect="00F24022">
          <w:type w:val="continuous"/>
          <w:pgSz w:w="11906" w:h="16838"/>
          <w:pgMar w:top="1440" w:right="1797" w:bottom="1440" w:left="1797" w:header="851" w:footer="992" w:gutter="0"/>
          <w:cols w:space="425"/>
          <w:docGrid w:linePitch="326"/>
        </w:sectPr>
      </w:pPr>
      <w:r w:rsidRPr="00F13BAC">
        <w:rPr>
          <w:rFonts w:ascii="Times New Roman" w:hAnsi="Times New Roman" w:cs="Times New Roman"/>
        </w:rPr>
        <w:br w:type="page"/>
      </w:r>
    </w:p>
    <w:p w14:paraId="7BF6B01B" w14:textId="29955F20" w:rsidR="001A49AA" w:rsidRPr="00D35775" w:rsidRDefault="00A44934" w:rsidP="00F2402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35775">
        <w:rPr>
          <w:rFonts w:ascii="Times New Roman" w:hAnsi="Times New Roman" w:cs="Times New Roman"/>
          <w:b/>
          <w:bCs/>
        </w:rPr>
        <w:lastRenderedPageBreak/>
        <w:t>Supplementary Table 1</w:t>
      </w:r>
      <w:r w:rsidR="005C0CAA" w:rsidRPr="00D35775">
        <w:rPr>
          <w:rFonts w:ascii="Times New Roman" w:hAnsi="Times New Roman" w:cs="Times New Roman"/>
          <w:b/>
          <w:bCs/>
        </w:rPr>
        <w:t>. Search strategy</w:t>
      </w:r>
      <w:r w:rsidRPr="00D35775">
        <w:rPr>
          <w:rFonts w:ascii="Times New Roman" w:hAnsi="Times New Roman" w:cs="Times New Roman"/>
          <w:b/>
          <w:bCs/>
        </w:rPr>
        <w:t xml:space="preserve"> and</w:t>
      </w:r>
      <w:r w:rsidR="00705C01" w:rsidRPr="00D35775">
        <w:rPr>
          <w:rFonts w:ascii="Times New Roman" w:hAnsi="Times New Roman" w:cs="Times New Roman"/>
          <w:b/>
          <w:bCs/>
        </w:rPr>
        <w:t xml:space="preserve"> </w:t>
      </w:r>
      <w:r w:rsidRPr="00D35775">
        <w:rPr>
          <w:rFonts w:ascii="Times New Roman" w:hAnsi="Times New Roman" w:cs="Times New Roman"/>
          <w:b/>
          <w:bCs/>
        </w:rPr>
        <w:t>results</w:t>
      </w:r>
    </w:p>
    <w:tbl>
      <w:tblPr>
        <w:tblStyle w:val="a7"/>
        <w:tblpPr w:leftFromText="180" w:rightFromText="180" w:vertAnchor="text" w:horzAnchor="margin" w:tblpY="84"/>
        <w:tblOverlap w:val="never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"/>
        <w:gridCol w:w="1263"/>
        <w:gridCol w:w="9719"/>
        <w:gridCol w:w="1573"/>
      </w:tblGrid>
      <w:tr w:rsidR="005906BE" w:rsidRPr="00F13BAC" w14:paraId="6D26420C" w14:textId="7BC4C1CC" w:rsidTr="005906BE">
        <w:trPr>
          <w:trHeight w:val="47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B4A86" w14:textId="00CF0BBE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3BAC">
              <w:rPr>
                <w:rFonts w:ascii="Times New Roman" w:hAnsi="Times New Roman" w:cs="Times New Roman"/>
                <w:b/>
                <w:bCs/>
              </w:rPr>
              <w:t>Database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DF37" w14:textId="30286110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3BAC">
              <w:rPr>
                <w:rFonts w:ascii="Times New Roman" w:hAnsi="Times New Roman" w:cs="Times New Roman"/>
                <w:b/>
              </w:rPr>
              <w:t>Search queries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535F1" w14:textId="77777777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3BAC">
              <w:rPr>
                <w:rFonts w:ascii="Times New Roman" w:hAnsi="Times New Roman" w:cs="Times New Roman"/>
                <w:b/>
              </w:rPr>
              <w:t>Terms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BA5B9" w14:textId="6C4FF66E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3BAC">
              <w:rPr>
                <w:rFonts w:ascii="Times New Roman" w:hAnsi="Times New Roman" w:cs="Times New Roman"/>
                <w:b/>
              </w:rPr>
              <w:t>Results (Dec 25, 2023)</w:t>
            </w:r>
          </w:p>
        </w:tc>
      </w:tr>
      <w:tr w:rsidR="005906BE" w:rsidRPr="00F13BAC" w14:paraId="317E8B56" w14:textId="5F21725D" w:rsidTr="005906BE">
        <w:trPr>
          <w:trHeight w:val="479"/>
        </w:trPr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5FC69251" w14:textId="1BFF8EBD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  <w:b/>
                <w:bCs/>
              </w:rPr>
              <w:t>PubMed</w:t>
            </w:r>
          </w:p>
        </w:tc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6FC0A4FE" w14:textId="4586CF2C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#1</w:t>
            </w:r>
          </w:p>
        </w:tc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4C868DFF" w14:textId="3CD1758E" w:rsidR="005906BE" w:rsidRPr="00F13BAC" w:rsidRDefault="005906BE" w:rsidP="005906B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 xml:space="preserve">“atrial </w:t>
            </w:r>
            <w:proofErr w:type="gramStart"/>
            <w:r w:rsidRPr="00F13BAC">
              <w:rPr>
                <w:rFonts w:ascii="Times New Roman" w:hAnsi="Times New Roman" w:cs="Times New Roman"/>
              </w:rPr>
              <w:t>fibrillation”[</w:t>
            </w:r>
            <w:proofErr w:type="spellStart"/>
            <w:proofErr w:type="gramEnd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“Atrial Fibrillation”[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MeSH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Terms]</w:t>
            </w:r>
          </w:p>
        </w:tc>
        <w:tc>
          <w:tcPr>
            <w:tcW w:w="0" w:type="auto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14:paraId="212D308E" w14:textId="2C509DC9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108,795</w:t>
            </w:r>
          </w:p>
        </w:tc>
      </w:tr>
      <w:tr w:rsidR="005906BE" w:rsidRPr="00F13BAC" w14:paraId="42134CBB" w14:textId="5DAC7819" w:rsidTr="005906BE">
        <w:trPr>
          <w:trHeight w:val="409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2F8928C" w14:textId="7777777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EB42F0B" w14:textId="5FE80444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417D99CE" w14:textId="51298402" w:rsidR="005906BE" w:rsidRPr="00F13BAC" w:rsidRDefault="005906BE" w:rsidP="005906BE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 xml:space="preserve">“heart </w:t>
            </w:r>
            <w:proofErr w:type="gramStart"/>
            <w:r w:rsidRPr="00F13BAC">
              <w:rPr>
                <w:rFonts w:ascii="Times New Roman" w:hAnsi="Times New Roman" w:cs="Times New Roman"/>
              </w:rPr>
              <w:t>failure”[</w:t>
            </w:r>
            <w:proofErr w:type="spellStart"/>
            <w:proofErr w:type="gramEnd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“cardiac failure”[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“myocardial failure”[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“heart decompensation”[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“decompensation, heart”[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“left ventricular dysfunction”[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] OR </w:t>
            </w:r>
            <w:r w:rsidR="004B6232" w:rsidRPr="00F13BAC">
              <w:rPr>
                <w:rFonts w:ascii="Times New Roman" w:hAnsi="Times New Roman" w:cs="Times New Roman"/>
              </w:rPr>
              <w:t>“</w:t>
            </w:r>
            <w:r w:rsidRPr="00F13BAC">
              <w:rPr>
                <w:rFonts w:ascii="Times New Roman" w:hAnsi="Times New Roman" w:cs="Times New Roman"/>
              </w:rPr>
              <w:t>Heart Failure</w:t>
            </w:r>
            <w:r w:rsidR="004B6232" w:rsidRPr="00F13BAC">
              <w:rPr>
                <w:rFonts w:ascii="Times New Roman" w:hAnsi="Times New Roman" w:cs="Times New Roman"/>
              </w:rPr>
              <w:t>”</w:t>
            </w:r>
            <w:r w:rsidRPr="00F13BAC">
              <w:rPr>
                <w:rFonts w:ascii="Times New Roman" w:hAnsi="Times New Roman" w:cs="Times New Roman"/>
              </w:rPr>
              <w:t>[Mesh]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C883FFB" w14:textId="2BC1F054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278,650</w:t>
            </w:r>
          </w:p>
        </w:tc>
      </w:tr>
      <w:tr w:rsidR="005906BE" w:rsidRPr="00F13BAC" w14:paraId="201C0D83" w14:textId="520B6569" w:rsidTr="005906BE">
        <w:trPr>
          <w:trHeight w:val="409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2481F7D2" w14:textId="7777777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79736CA2" w14:textId="751AE9A3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C1B86B9" w14:textId="59A792E9" w:rsidR="005906BE" w:rsidRPr="00F13BAC" w:rsidRDefault="005906BE" w:rsidP="005906B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 xml:space="preserve">“catheter </w:t>
            </w:r>
            <w:proofErr w:type="gramStart"/>
            <w:r w:rsidRPr="00F13BAC">
              <w:rPr>
                <w:rFonts w:ascii="Times New Roman" w:hAnsi="Times New Roman" w:cs="Times New Roman"/>
              </w:rPr>
              <w:t>ablation”[</w:t>
            </w:r>
            <w:proofErr w:type="spellStart"/>
            <w:proofErr w:type="gramEnd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“ablation therapy”[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“radiofrequency ablation”[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“cryoablation”[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</w:t>
            </w:r>
            <w:proofErr w:type="spellStart"/>
            <w:r w:rsidRPr="00F13BAC">
              <w:rPr>
                <w:rFonts w:ascii="Times New Roman" w:hAnsi="Times New Roman" w:cs="Times New Roman"/>
              </w:rPr>
              <w:t>cryoballoon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ablation”[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A3E5632" w14:textId="4A2D84DB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41,687</w:t>
            </w:r>
          </w:p>
        </w:tc>
      </w:tr>
      <w:tr w:rsidR="005906BE" w:rsidRPr="00F13BAC" w14:paraId="523CFC2E" w14:textId="647D88F7" w:rsidTr="005906BE">
        <w:trPr>
          <w:trHeight w:val="409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70BE2AB3" w14:textId="7777777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F3F14CE" w14:textId="290CF275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20E2835" w14:textId="6298311A" w:rsidR="005906BE" w:rsidRPr="00F13BAC" w:rsidRDefault="005906BE" w:rsidP="005906BE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“meta-</w:t>
            </w:r>
            <w:proofErr w:type="gramStart"/>
            <w:r w:rsidRPr="00F13BAC">
              <w:rPr>
                <w:rFonts w:ascii="Times New Roman" w:hAnsi="Times New Roman" w:cs="Times New Roman"/>
              </w:rPr>
              <w:t>analysis”[</w:t>
            </w:r>
            <w:proofErr w:type="spellStart"/>
            <w:proofErr w:type="gramEnd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“pooling analysis”[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“integrated analysis”[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“synthesis analysis”[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tiab</w:t>
            </w:r>
            <w:proofErr w:type="spellEnd"/>
            <w:r w:rsidRPr="00F13BAC">
              <w:rPr>
                <w:rFonts w:ascii="Times New Roman" w:hAnsi="Times New Roman" w:cs="Times New Roman"/>
              </w:rPr>
              <w:t>] OR “Meta-Analysis”[Publication Type]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EFC4C8A" w14:textId="4F4EA431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288,023</w:t>
            </w:r>
          </w:p>
        </w:tc>
      </w:tr>
      <w:tr w:rsidR="005906BE" w:rsidRPr="00F13BAC" w14:paraId="14765EF5" w14:textId="701117AE" w:rsidTr="005906BE">
        <w:trPr>
          <w:trHeight w:val="409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DC3BD23" w14:textId="7777777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08A358CA" w14:textId="4A78F7B5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7D91FC52" w14:textId="3AB147CE" w:rsidR="005906BE" w:rsidRPr="00F13BAC" w:rsidRDefault="005906BE" w:rsidP="005906B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#1 and #2 and #3 and #4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AC66E56" w14:textId="16FDD574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70</w:t>
            </w:r>
          </w:p>
        </w:tc>
      </w:tr>
      <w:tr w:rsidR="005906BE" w:rsidRPr="00F13BAC" w14:paraId="36A5D8D0" w14:textId="74EEB73F" w:rsidTr="005906BE">
        <w:trPr>
          <w:trHeight w:val="409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D66AEBB" w14:textId="48FED58D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  <w:b/>
                <w:bCs/>
              </w:rPr>
              <w:t>Embase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C6239C0" w14:textId="415A39C2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F4E5B2F" w14:textId="38E218D2" w:rsidR="005906BE" w:rsidRPr="00F13BAC" w:rsidRDefault="00D37A89" w:rsidP="005906B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'atrial fibrillation</w:t>
            </w:r>
            <w:proofErr w:type="gramStart"/>
            <w:r w:rsidRPr="00F13BAC">
              <w:rPr>
                <w:rFonts w:ascii="Times New Roman" w:hAnsi="Times New Roman" w:cs="Times New Roman"/>
              </w:rPr>
              <w:t>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</w:t>
            </w:r>
            <w:proofErr w:type="gramEnd"/>
            <w:r w:rsidRPr="00F13BAC">
              <w:rPr>
                <w:rFonts w:ascii="Times New Roman" w:hAnsi="Times New Roman" w:cs="Times New Roman"/>
              </w:rPr>
              <w:t>,ab,kw</w:t>
            </w:r>
            <w:proofErr w:type="spellEnd"/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04F8E247" w14:textId="2C2F3757" w:rsidR="005906BE" w:rsidRPr="00F13BAC" w:rsidRDefault="00D37A89" w:rsidP="00D37A8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170,674</w:t>
            </w:r>
          </w:p>
        </w:tc>
      </w:tr>
      <w:tr w:rsidR="005906BE" w:rsidRPr="00F13BAC" w14:paraId="74C90895" w14:textId="5B0D70F8" w:rsidTr="005906BE">
        <w:trPr>
          <w:trHeight w:val="409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DE4D91D" w14:textId="7777777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37B6C65" w14:textId="274A066A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00FA2773" w14:textId="6A4DFF49" w:rsidR="005906BE" w:rsidRPr="00F13BAC" w:rsidRDefault="00D37A89" w:rsidP="005906BE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'heart failure</w:t>
            </w:r>
            <w:proofErr w:type="gramStart"/>
            <w:r w:rsidRPr="00F13BAC">
              <w:rPr>
                <w:rFonts w:ascii="Times New Roman" w:hAnsi="Times New Roman" w:cs="Times New Roman"/>
              </w:rPr>
              <w:t>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</w:t>
            </w:r>
            <w:proofErr w:type="gramEnd"/>
            <w:r w:rsidRPr="00F13BAC">
              <w:rPr>
                <w:rFonts w:ascii="Times New Roman" w:hAnsi="Times New Roman" w:cs="Times New Roman"/>
              </w:rPr>
              <w:t>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'cardiac failure':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'myocardial failure':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'heart decompensation':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'left ventricular dysfunction':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2DB3B642" w14:textId="41BACF6B" w:rsidR="005906BE" w:rsidRPr="00F13BAC" w:rsidRDefault="00D37A89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402,679</w:t>
            </w:r>
          </w:p>
        </w:tc>
      </w:tr>
      <w:tr w:rsidR="005906BE" w:rsidRPr="00F13BAC" w14:paraId="23C33662" w14:textId="6263C57C" w:rsidTr="005906BE">
        <w:trPr>
          <w:trHeight w:val="409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1B81EE7" w14:textId="7777777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F5B3387" w14:textId="2F6A07C0" w:rsidR="005906BE" w:rsidRPr="00F13BAC" w:rsidRDefault="005906BE" w:rsidP="005906B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48D499C9" w14:textId="179CCA61" w:rsidR="005906BE" w:rsidRPr="00F13BAC" w:rsidRDefault="00D37A89" w:rsidP="005906B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'catheter ablation</w:t>
            </w:r>
            <w:proofErr w:type="gramStart"/>
            <w:r w:rsidRPr="00F13BAC">
              <w:rPr>
                <w:rFonts w:ascii="Times New Roman" w:hAnsi="Times New Roman" w:cs="Times New Roman"/>
              </w:rPr>
              <w:t>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</w:t>
            </w:r>
            <w:proofErr w:type="gramEnd"/>
            <w:r w:rsidRPr="00F13BAC">
              <w:rPr>
                <w:rFonts w:ascii="Times New Roman" w:hAnsi="Times New Roman" w:cs="Times New Roman"/>
              </w:rPr>
              <w:t>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'ablation therapy':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'radiofrequency ablation':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'cryoablation':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</w:t>
            </w:r>
            <w:proofErr w:type="spellStart"/>
            <w:r w:rsidRPr="00F13BAC">
              <w:rPr>
                <w:rFonts w:ascii="Times New Roman" w:hAnsi="Times New Roman" w:cs="Times New Roman"/>
              </w:rPr>
              <w:t>cryoballoon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ablation':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289C1923" w14:textId="72616895" w:rsidR="005906BE" w:rsidRPr="00F13BAC" w:rsidRDefault="00C04F93" w:rsidP="00C04F9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69,879</w:t>
            </w:r>
          </w:p>
        </w:tc>
      </w:tr>
      <w:tr w:rsidR="005906BE" w:rsidRPr="00F13BAC" w14:paraId="4E60D998" w14:textId="077D2D8F" w:rsidTr="005906BE">
        <w:trPr>
          <w:trHeight w:val="373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D9FF17D" w14:textId="7777777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706E8C2" w14:textId="01AD1316" w:rsidR="005906BE" w:rsidRPr="00F13BAC" w:rsidRDefault="00D37A89" w:rsidP="005906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3BAC">
              <w:rPr>
                <w:rFonts w:ascii="Times New Roman" w:hAnsi="Times New Roman" w:cs="Times New Roman"/>
              </w:rPr>
              <w:t>#4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F1C5103" w14:textId="2CB33097" w:rsidR="005906BE" w:rsidRPr="00F13BAC" w:rsidRDefault="00C04F93" w:rsidP="005906BE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'</w:t>
            </w:r>
            <w:proofErr w:type="spellStart"/>
            <w:r w:rsidRPr="00F13BAC">
              <w:rPr>
                <w:rFonts w:ascii="Times New Roman" w:hAnsi="Times New Roman" w:cs="Times New Roman"/>
              </w:rPr>
              <w:t>meta analysis</w:t>
            </w:r>
            <w:proofErr w:type="spellEnd"/>
            <w:proofErr w:type="gramStart"/>
            <w:r w:rsidRPr="00F13BAC">
              <w:rPr>
                <w:rFonts w:ascii="Times New Roman" w:hAnsi="Times New Roman" w:cs="Times New Roman"/>
              </w:rPr>
              <w:t>':ti</w:t>
            </w:r>
            <w:proofErr w:type="gramEnd"/>
            <w:r w:rsidRPr="00F13BAC">
              <w:rPr>
                <w:rFonts w:ascii="Times New Roman" w:hAnsi="Times New Roman" w:cs="Times New Roman"/>
              </w:rPr>
              <w:t>,ab,kw OR 'pooling analysis':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'integrated analysis':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OR 'synthesis analysis':</w:t>
            </w:r>
            <w:proofErr w:type="spellStart"/>
            <w:r w:rsidRPr="00F13BAC">
              <w:rPr>
                <w:rFonts w:ascii="Times New Roman" w:hAnsi="Times New Roman" w:cs="Times New Roman"/>
              </w:rPr>
              <w:t>ti,ab,kw</w:t>
            </w:r>
            <w:proofErr w:type="spellEnd"/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8497241" w14:textId="1FD2677C" w:rsidR="005906BE" w:rsidRPr="00F13BAC" w:rsidRDefault="00C04F93" w:rsidP="00C04F9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328,349</w:t>
            </w:r>
          </w:p>
        </w:tc>
      </w:tr>
      <w:tr w:rsidR="00D37A89" w:rsidRPr="00F13BAC" w14:paraId="1E0CB99D" w14:textId="77777777" w:rsidTr="005906BE">
        <w:trPr>
          <w:trHeight w:val="373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0076416C" w14:textId="77777777" w:rsidR="00D37A89" w:rsidRPr="00F13BAC" w:rsidRDefault="00D37A89" w:rsidP="005906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3B880E8" w14:textId="4D08933E" w:rsidR="00D37A89" w:rsidRPr="00F13BAC" w:rsidRDefault="00D37A89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83638B8" w14:textId="2F92840B" w:rsidR="00D37A89" w:rsidRPr="00F13BAC" w:rsidRDefault="00C04F93" w:rsidP="005906B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#1 AND #2 AND #3 AND #4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032ADA7E" w14:textId="417A63DE" w:rsidR="00D37A89" w:rsidRPr="00F13BAC" w:rsidRDefault="00C04F93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105</w:t>
            </w:r>
          </w:p>
        </w:tc>
      </w:tr>
      <w:tr w:rsidR="005906BE" w:rsidRPr="00F13BAC" w14:paraId="52D464D4" w14:textId="64B1275D" w:rsidTr="005906BE">
        <w:trPr>
          <w:trHeight w:val="373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D2E9769" w14:textId="7C52D116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  <w:b/>
                <w:bCs/>
              </w:rPr>
              <w:t>Web of Science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E3C2F0E" w14:textId="3C0028EB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05E60089" w14:textId="1EE90060" w:rsidR="005906BE" w:rsidRPr="00F13BAC" w:rsidRDefault="006D2CC6" w:rsidP="005906BE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TS</w:t>
            </w:r>
            <w:proofErr w:type="gramStart"/>
            <w:r w:rsidRPr="00F13BAC">
              <w:rPr>
                <w:rFonts w:ascii="Times New Roman" w:hAnsi="Times New Roman" w:cs="Times New Roman"/>
              </w:rPr>
              <w:t>=“</w:t>
            </w:r>
            <w:proofErr w:type="gramEnd"/>
            <w:r w:rsidRPr="00F13BAC">
              <w:rPr>
                <w:rFonts w:ascii="Times New Roman" w:hAnsi="Times New Roman" w:cs="Times New Roman"/>
              </w:rPr>
              <w:t>atrial fibrillation”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7B400F5F" w14:textId="04A3CE22" w:rsidR="005906BE" w:rsidRPr="00F13BAC" w:rsidRDefault="00E43258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110,567</w:t>
            </w:r>
          </w:p>
        </w:tc>
      </w:tr>
      <w:tr w:rsidR="005906BE" w:rsidRPr="00F13BAC" w14:paraId="05116F2C" w14:textId="639AA1A0" w:rsidTr="005906BE">
        <w:trPr>
          <w:trHeight w:val="373"/>
        </w:trPr>
        <w:tc>
          <w:tcPr>
            <w:tcW w:w="0" w:type="auto"/>
            <w:tcBorders>
              <w:bottom w:val="nil"/>
              <w:tl2br w:val="nil"/>
              <w:tr2bl w:val="nil"/>
            </w:tcBorders>
            <w:vAlign w:val="center"/>
          </w:tcPr>
          <w:p w14:paraId="7D37C90B" w14:textId="7777777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nil"/>
              <w:tl2br w:val="nil"/>
              <w:tr2bl w:val="nil"/>
            </w:tcBorders>
            <w:vAlign w:val="center"/>
          </w:tcPr>
          <w:p w14:paraId="76652144" w14:textId="2F738165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#2</w:t>
            </w:r>
          </w:p>
        </w:tc>
        <w:tc>
          <w:tcPr>
            <w:tcW w:w="0" w:type="auto"/>
            <w:tcBorders>
              <w:bottom w:val="nil"/>
              <w:tl2br w:val="nil"/>
              <w:tr2bl w:val="nil"/>
            </w:tcBorders>
            <w:vAlign w:val="center"/>
          </w:tcPr>
          <w:p w14:paraId="20BA2A63" w14:textId="79669EB9" w:rsidR="005906BE" w:rsidRPr="00F13BAC" w:rsidRDefault="006D2CC6" w:rsidP="007346B9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TS</w:t>
            </w:r>
            <w:proofErr w:type="gramStart"/>
            <w:r w:rsidRPr="00F13BAC">
              <w:rPr>
                <w:rFonts w:ascii="Times New Roman" w:hAnsi="Times New Roman" w:cs="Times New Roman"/>
              </w:rPr>
              <w:t>=“</w:t>
            </w:r>
            <w:proofErr w:type="gramEnd"/>
            <w:r w:rsidRPr="00F13BAC">
              <w:rPr>
                <w:rFonts w:ascii="Times New Roman" w:hAnsi="Times New Roman" w:cs="Times New Roman"/>
              </w:rPr>
              <w:t>heart failure” OR TS=“cardiac failure” OR TS=“myocardial failure” OR TS=“heart decompensation” OR TS=“left ventricular dysfunction”</w:t>
            </w:r>
          </w:p>
        </w:tc>
        <w:tc>
          <w:tcPr>
            <w:tcW w:w="0" w:type="auto"/>
            <w:tcBorders>
              <w:bottom w:val="nil"/>
              <w:tl2br w:val="nil"/>
              <w:tr2bl w:val="nil"/>
            </w:tcBorders>
            <w:vAlign w:val="center"/>
          </w:tcPr>
          <w:p w14:paraId="3E37698A" w14:textId="61979112" w:rsidR="005906BE" w:rsidRPr="00F13BAC" w:rsidRDefault="00E43258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283,657</w:t>
            </w:r>
          </w:p>
        </w:tc>
      </w:tr>
      <w:tr w:rsidR="005906BE" w:rsidRPr="00F13BAC" w14:paraId="313244D1" w14:textId="6ED8BAFB" w:rsidTr="002E76BB">
        <w:trPr>
          <w:trHeight w:val="373"/>
        </w:trPr>
        <w:tc>
          <w:tcPr>
            <w:tcW w:w="0" w:type="auto"/>
            <w:tcBorders>
              <w:top w:val="nil"/>
              <w:bottom w:val="nil"/>
              <w:tl2br w:val="nil"/>
              <w:tr2bl w:val="nil"/>
            </w:tcBorders>
            <w:vAlign w:val="center"/>
          </w:tcPr>
          <w:p w14:paraId="123CC0DD" w14:textId="7777777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  <w:tl2br w:val="nil"/>
              <w:tr2bl w:val="nil"/>
            </w:tcBorders>
            <w:vAlign w:val="center"/>
          </w:tcPr>
          <w:p w14:paraId="4406BCB8" w14:textId="6028A487" w:rsidR="005906BE" w:rsidRPr="00F13BAC" w:rsidRDefault="005906BE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#3</w:t>
            </w:r>
          </w:p>
        </w:tc>
        <w:tc>
          <w:tcPr>
            <w:tcW w:w="0" w:type="auto"/>
            <w:tcBorders>
              <w:top w:val="nil"/>
              <w:bottom w:val="nil"/>
              <w:tl2br w:val="nil"/>
              <w:tr2bl w:val="nil"/>
            </w:tcBorders>
            <w:vAlign w:val="center"/>
          </w:tcPr>
          <w:p w14:paraId="5182A9EC" w14:textId="01A595C4" w:rsidR="005906BE" w:rsidRPr="00F13BAC" w:rsidRDefault="00E43258" w:rsidP="007346B9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TS</w:t>
            </w:r>
            <w:proofErr w:type="gramStart"/>
            <w:r w:rsidRPr="00F13BAC">
              <w:rPr>
                <w:rFonts w:ascii="Times New Roman" w:hAnsi="Times New Roman" w:cs="Times New Roman"/>
              </w:rPr>
              <w:t>=“</w:t>
            </w:r>
            <w:proofErr w:type="gramEnd"/>
            <w:r w:rsidRPr="00F13BAC">
              <w:rPr>
                <w:rFonts w:ascii="Times New Roman" w:hAnsi="Times New Roman" w:cs="Times New Roman"/>
              </w:rPr>
              <w:t>catheter ablation” OR TS=“ablation therapy” OR TS=“radiofrequency ablation” OR TS=“cryoablation” OR TS=“</w:t>
            </w:r>
            <w:proofErr w:type="spellStart"/>
            <w:r w:rsidRPr="00F13BAC">
              <w:rPr>
                <w:rFonts w:ascii="Times New Roman" w:hAnsi="Times New Roman" w:cs="Times New Roman"/>
              </w:rPr>
              <w:t>cryoballoon</w:t>
            </w:r>
            <w:proofErr w:type="spellEnd"/>
            <w:r w:rsidRPr="00F13BAC">
              <w:rPr>
                <w:rFonts w:ascii="Times New Roman" w:hAnsi="Times New Roman" w:cs="Times New Roman"/>
              </w:rPr>
              <w:t xml:space="preserve"> ablation”</w:t>
            </w:r>
          </w:p>
        </w:tc>
        <w:tc>
          <w:tcPr>
            <w:tcW w:w="0" w:type="auto"/>
            <w:tcBorders>
              <w:top w:val="nil"/>
              <w:bottom w:val="nil"/>
              <w:tl2br w:val="nil"/>
              <w:tr2bl w:val="nil"/>
            </w:tcBorders>
            <w:vAlign w:val="center"/>
          </w:tcPr>
          <w:p w14:paraId="0B8A25F3" w14:textId="0C3337E5" w:rsidR="005906BE" w:rsidRPr="00F13BAC" w:rsidRDefault="00E43258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54,533</w:t>
            </w:r>
          </w:p>
        </w:tc>
      </w:tr>
      <w:tr w:rsidR="002E76BB" w:rsidRPr="00F13BAC" w14:paraId="39CCA004" w14:textId="77777777" w:rsidTr="002E76BB">
        <w:trPr>
          <w:trHeight w:val="373"/>
        </w:trPr>
        <w:tc>
          <w:tcPr>
            <w:tcW w:w="0" w:type="auto"/>
            <w:tcBorders>
              <w:top w:val="nil"/>
              <w:bottom w:val="nil"/>
              <w:tl2br w:val="nil"/>
              <w:tr2bl w:val="nil"/>
            </w:tcBorders>
            <w:vAlign w:val="center"/>
          </w:tcPr>
          <w:p w14:paraId="2C9A2213" w14:textId="77777777" w:rsidR="002E76BB" w:rsidRPr="00F13BAC" w:rsidRDefault="002E76BB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  <w:tl2br w:val="nil"/>
              <w:tr2bl w:val="nil"/>
            </w:tcBorders>
            <w:vAlign w:val="center"/>
          </w:tcPr>
          <w:p w14:paraId="3019EAF3" w14:textId="26980B80" w:rsidR="002E76BB" w:rsidRPr="00F13BAC" w:rsidRDefault="002E76BB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#4</w:t>
            </w:r>
          </w:p>
        </w:tc>
        <w:tc>
          <w:tcPr>
            <w:tcW w:w="0" w:type="auto"/>
            <w:tcBorders>
              <w:top w:val="nil"/>
              <w:bottom w:val="nil"/>
              <w:tl2br w:val="nil"/>
              <w:tr2bl w:val="nil"/>
            </w:tcBorders>
            <w:vAlign w:val="center"/>
          </w:tcPr>
          <w:p w14:paraId="6D574105" w14:textId="72A1DC41" w:rsidR="002E76BB" w:rsidRPr="00F13BAC" w:rsidRDefault="00E43258" w:rsidP="007346B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TS</w:t>
            </w:r>
            <w:proofErr w:type="gramStart"/>
            <w:r w:rsidRPr="00F13BAC">
              <w:rPr>
                <w:rFonts w:ascii="Times New Roman" w:hAnsi="Times New Roman" w:cs="Times New Roman"/>
              </w:rPr>
              <w:t>=“</w:t>
            </w:r>
            <w:proofErr w:type="spellStart"/>
            <w:proofErr w:type="gramEnd"/>
            <w:r w:rsidRPr="00F13BAC">
              <w:rPr>
                <w:rFonts w:ascii="Times New Roman" w:hAnsi="Times New Roman" w:cs="Times New Roman"/>
              </w:rPr>
              <w:t>meta analysis</w:t>
            </w:r>
            <w:proofErr w:type="spellEnd"/>
            <w:r w:rsidRPr="00F13BAC">
              <w:rPr>
                <w:rFonts w:ascii="Times New Roman" w:hAnsi="Times New Roman" w:cs="Times New Roman"/>
              </w:rPr>
              <w:t>” OR TS=“pooling analysis” OR TS=“integrated analysis” OR TS=“synthesis analysis”</w:t>
            </w:r>
          </w:p>
        </w:tc>
        <w:tc>
          <w:tcPr>
            <w:tcW w:w="0" w:type="auto"/>
            <w:tcBorders>
              <w:top w:val="nil"/>
              <w:bottom w:val="nil"/>
              <w:tl2br w:val="nil"/>
              <w:tr2bl w:val="nil"/>
            </w:tcBorders>
            <w:vAlign w:val="center"/>
          </w:tcPr>
          <w:p w14:paraId="4766475D" w14:textId="30111BC8" w:rsidR="002E76BB" w:rsidRPr="00F13BAC" w:rsidRDefault="00E43258" w:rsidP="005906B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287,780</w:t>
            </w:r>
          </w:p>
        </w:tc>
      </w:tr>
      <w:tr w:rsidR="002E76BB" w:rsidRPr="00F13BAC" w14:paraId="23045F6C" w14:textId="77777777" w:rsidTr="005906BE">
        <w:trPr>
          <w:trHeight w:val="373"/>
        </w:trPr>
        <w:tc>
          <w:tcPr>
            <w:tcW w:w="0" w:type="auto"/>
            <w:tcBorders>
              <w:top w:val="nil"/>
              <w:bottom w:val="single" w:sz="4" w:space="0" w:color="auto"/>
              <w:tl2br w:val="nil"/>
              <w:tr2bl w:val="nil"/>
            </w:tcBorders>
            <w:vAlign w:val="center"/>
          </w:tcPr>
          <w:p w14:paraId="2CA530CD" w14:textId="77777777" w:rsidR="002E76BB" w:rsidRPr="00F13BAC" w:rsidRDefault="002E76BB" w:rsidP="002E76B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tl2br w:val="nil"/>
              <w:tr2bl w:val="nil"/>
            </w:tcBorders>
            <w:vAlign w:val="center"/>
          </w:tcPr>
          <w:p w14:paraId="584DF3A0" w14:textId="7866D20B" w:rsidR="002E76BB" w:rsidRPr="00F13BAC" w:rsidRDefault="002E76BB" w:rsidP="002E76B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tl2br w:val="nil"/>
              <w:tr2bl w:val="nil"/>
            </w:tcBorders>
            <w:vAlign w:val="center"/>
          </w:tcPr>
          <w:p w14:paraId="41882215" w14:textId="158D1C4D" w:rsidR="002E76BB" w:rsidRPr="00F13BAC" w:rsidRDefault="002E76BB" w:rsidP="002E76B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#1 and #2 and #3 and #4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tl2br w:val="nil"/>
              <w:tr2bl w:val="nil"/>
            </w:tcBorders>
            <w:vAlign w:val="center"/>
          </w:tcPr>
          <w:p w14:paraId="1E905B1E" w14:textId="38723D91" w:rsidR="002E76BB" w:rsidRPr="00F13BAC" w:rsidRDefault="00E43258" w:rsidP="002E76B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BAC">
              <w:rPr>
                <w:rFonts w:ascii="Times New Roman" w:hAnsi="Times New Roman" w:cs="Times New Roman"/>
              </w:rPr>
              <w:t>105</w:t>
            </w:r>
          </w:p>
        </w:tc>
      </w:tr>
    </w:tbl>
    <w:p w14:paraId="6B3F1B49" w14:textId="67B84E9F" w:rsidR="00FD6D4D" w:rsidRPr="00F13BAC" w:rsidRDefault="00FD6D4D" w:rsidP="001A49AA">
      <w:pPr>
        <w:spacing w:line="360" w:lineRule="auto"/>
        <w:rPr>
          <w:rFonts w:ascii="Times New Roman" w:hAnsi="Times New Roman" w:cs="Times New Roman"/>
        </w:rPr>
      </w:pPr>
    </w:p>
    <w:p w14:paraId="47F1B37D" w14:textId="77777777" w:rsidR="00FD6D4D" w:rsidRPr="00F13BAC" w:rsidRDefault="00FD6D4D">
      <w:pPr>
        <w:rPr>
          <w:rFonts w:ascii="Times New Roman" w:hAnsi="Times New Roman" w:cs="Times New Roman"/>
        </w:rPr>
        <w:sectPr w:rsidR="00FD6D4D" w:rsidRPr="00F13BAC" w:rsidSect="00806A12">
          <w:pgSz w:w="16838" w:h="11906" w:orient="landscape"/>
          <w:pgMar w:top="1797" w:right="1440" w:bottom="1797" w:left="1440" w:header="851" w:footer="992" w:gutter="0"/>
          <w:cols w:space="425"/>
          <w:docGrid w:linePitch="326"/>
        </w:sectPr>
      </w:pPr>
      <w:r w:rsidRPr="00F13BAC">
        <w:rPr>
          <w:rFonts w:ascii="Times New Roman" w:hAnsi="Times New Roman" w:cs="Times New Roman"/>
        </w:rPr>
        <w:br w:type="page"/>
      </w:r>
    </w:p>
    <w:p w14:paraId="6D341217" w14:textId="2DE158A1" w:rsidR="009E2773" w:rsidRPr="00D35775" w:rsidRDefault="009E2773" w:rsidP="0077542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35775">
        <w:rPr>
          <w:rFonts w:ascii="Times New Roman" w:hAnsi="Times New Roman" w:cs="Times New Roman"/>
          <w:b/>
          <w:bCs/>
        </w:rPr>
        <w:lastRenderedPageBreak/>
        <w:t>Supplementary Table 2.</w:t>
      </w:r>
      <w:r w:rsidR="00F70AC3" w:rsidRPr="00D35775">
        <w:rPr>
          <w:rFonts w:ascii="Times New Roman" w:hAnsi="Times New Roman" w:cs="Times New Roman"/>
          <w:b/>
          <w:bCs/>
        </w:rPr>
        <w:t xml:space="preserve"> </w:t>
      </w:r>
      <w:r w:rsidRPr="00D35775">
        <w:rPr>
          <w:rFonts w:ascii="Times New Roman" w:hAnsi="Times New Roman" w:cs="Times New Roman"/>
          <w:b/>
          <w:bCs/>
        </w:rPr>
        <w:t>Study characteristics of 10 RCTs on catheter ablation in patients with AF and HF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04"/>
        <w:gridCol w:w="1311"/>
        <w:gridCol w:w="1883"/>
        <w:gridCol w:w="1356"/>
        <w:gridCol w:w="1078"/>
        <w:gridCol w:w="731"/>
        <w:gridCol w:w="932"/>
        <w:gridCol w:w="2004"/>
        <w:gridCol w:w="2190"/>
        <w:gridCol w:w="969"/>
      </w:tblGrid>
      <w:tr w:rsidR="00D009FF" w:rsidRPr="00F13BAC" w14:paraId="53854C1B" w14:textId="77777777" w:rsidTr="00D009FF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8D6BD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Trial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314D6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Year of publication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3191B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Region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46DF9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Number of study population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FCD2AB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Age (y)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2A94AE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Male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6B7A6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Follow-up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01D05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Primary Outcome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607C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Outcome Measure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46722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DOI</w:t>
            </w:r>
          </w:p>
        </w:tc>
      </w:tr>
      <w:tr w:rsidR="00D009FF" w:rsidRPr="00F13BAC" w14:paraId="4536499D" w14:textId="77777777" w:rsidTr="00D009FF">
        <w:trPr>
          <w:trHeight w:val="14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58FF6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 xml:space="preserve">PABA-CHF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09647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1E753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44A92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DA0B2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60±8*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ACED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95*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CEF0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AEE35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Composite of LVEF, distance on the 6-minute walk test, or MLWHF score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13B19" w14:textId="47874136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LVEF (35±9% vs. 28±6%); 6-minute walking distance (340±49 m vs. 297±36 m); MLWHF score (60±8</w:t>
            </w:r>
            <w:r w:rsidR="00D009FF" w:rsidRPr="00F13BA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vs. 82±14)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511BD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10.1056/NEJMoa0708234</w:t>
            </w:r>
          </w:p>
        </w:tc>
      </w:tr>
      <w:tr w:rsidR="00D009FF" w:rsidRPr="00F13BAC" w14:paraId="07B27168" w14:textId="77777777" w:rsidTr="00D009FF">
        <w:trPr>
          <w:trHeight w:val="5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2F097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MacDonald et al.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4A18E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6901D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385F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76857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 xml:space="preserve"> 62.3±6.7*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AA527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77*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E90F3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B949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Change of LVEF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F53CC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4.56±11.1% vs. 2.86±6.7%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E79C7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10.1136/hrt.2010.207340</w:t>
            </w:r>
          </w:p>
        </w:tc>
      </w:tr>
      <w:tr w:rsidR="00D009FF" w:rsidRPr="00F13BAC" w14:paraId="3680F7AB" w14:textId="77777777" w:rsidTr="00D009FF">
        <w:trPr>
          <w:trHeight w:val="8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55967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ARC-HF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3AE3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F601A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6A36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79E14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 xml:space="preserve">63±9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8422E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81*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F9B2D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12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0FD9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Change in peak oxygen consumption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D677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 xml:space="preserve"> MD 3.07 (95%CI 0.56-5.59)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62EE0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10.1016/j.jacc.2013.01.069</w:t>
            </w:r>
          </w:p>
        </w:tc>
      </w:tr>
      <w:tr w:rsidR="00D009FF" w:rsidRPr="00F13BAC" w14:paraId="1CCC9C5A" w14:textId="77777777" w:rsidTr="00D009FF">
        <w:trPr>
          <w:trHeight w:val="5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A245F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CAMTAF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1F6A6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0299A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8D6FB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C3374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55±12*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E9B9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2ECE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66075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LVEF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F57EC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40±12% vs. 31±13%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CD679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10.1161/CIRCEP.113.000806</w:t>
            </w:r>
          </w:p>
        </w:tc>
      </w:tr>
      <w:tr w:rsidR="00D009FF" w:rsidRPr="00F13BAC" w14:paraId="7068CCA8" w14:textId="77777777" w:rsidTr="00D009FF">
        <w:trPr>
          <w:trHeight w:val="5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6EB9B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AATAC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97B03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11CE5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E723B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110C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62±10*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DB034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75*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DBC25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24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797A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 xml:space="preserve">AF recurrence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1D510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70% (95% CI 60%-78%) vs. 34% (95% CI 25%-44%)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76FCC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10.1161/CIRCULATIONAHA.115.019406</w:t>
            </w:r>
          </w:p>
        </w:tc>
      </w:tr>
      <w:tr w:rsidR="00D009FF" w:rsidRPr="00F13BAC" w14:paraId="47E337BE" w14:textId="77777777" w:rsidTr="00D009FF">
        <w:trPr>
          <w:trHeight w:val="5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04A6E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CAMERA-MRI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4527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CD72E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Australia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7D6DA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A4C8E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59±11*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79185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94*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65C0E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65C8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Change of LVEF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87FE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 xml:space="preserve"> 18±13% vs. 4.4±13%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FD175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10.1016/j.jacc.2017.08.041</w:t>
            </w:r>
          </w:p>
        </w:tc>
      </w:tr>
      <w:tr w:rsidR="00D009FF" w:rsidRPr="00F13BAC" w14:paraId="7CF192A1" w14:textId="77777777" w:rsidTr="00D009FF">
        <w:trPr>
          <w:trHeight w:val="8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3D60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CASTLE-AF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5856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BD89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Europe, Australia, 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13C0C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989B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577AA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85.5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C9F74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37.8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E182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Composite of death and HF hospitalization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1896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HR 0.62 (95% CI 0.43-0.87)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10A37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10.1056/NEJMoa1707855</w:t>
            </w:r>
          </w:p>
        </w:tc>
      </w:tr>
      <w:tr w:rsidR="00D009FF" w:rsidRPr="00F13BAC" w14:paraId="0B8A79BA" w14:textId="77777777" w:rsidTr="00D009FF">
        <w:trPr>
          <w:trHeight w:val="8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3229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AMICA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33EF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28AF3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97F97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0B29A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65±8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0834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82F2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12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4C8A6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Absolute increase in LVEF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2F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8.8% (95% CI 5.8%-11.9%) vs. 7.3% (95% CI 4.3%-10.3%)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B95B1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10.1161/CIRCEP.119.007731</w:t>
            </w:r>
          </w:p>
        </w:tc>
      </w:tr>
      <w:tr w:rsidR="00D009FF" w:rsidRPr="00F13BAC" w14:paraId="035BB726" w14:textId="77777777" w:rsidTr="00D009FF">
        <w:trPr>
          <w:trHeight w:val="11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C808D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CABANA HF subgroup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C92F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EDD3B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USA, Australia, Canada, China, Czechia, Germany, Italy, Korea, Russian Federation, UK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9EF8F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8139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68 (62, 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4957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55.7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701F8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48.5 months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37E14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Composite of death, disabling stroke, serious bleeding, or cardiac arrest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8B031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HR 0.64 (95% CI 0.41-0.99)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C02FE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10.1161/CIRCULATIONAHA.120.050991</w:t>
            </w:r>
          </w:p>
        </w:tc>
      </w:tr>
      <w:tr w:rsidR="00D009FF" w:rsidRPr="00F13BAC" w14:paraId="784F4720" w14:textId="77777777" w:rsidTr="00D009FF">
        <w:trPr>
          <w:trHeight w:val="849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8DDD5B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RAFT-AF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71E0E0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CABBE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Brazil, Canada, Sweden, Taiwan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E584F9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AFBFA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65.9±8.6*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19682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73.4*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800A0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 xml:space="preserve">37.4 months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CCB64A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Composite of all-cause mortality and HF events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A2F9D" w14:textId="77777777" w:rsidR="001B5AE2" w:rsidRPr="00F13BAC" w:rsidRDefault="001B5AE2" w:rsidP="00D009FF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13BAC">
              <w:rPr>
                <w:rFonts w:ascii="Times New Roman" w:hAnsi="Times New Roman" w:cs="Times New Roman"/>
                <w:sz w:val="21"/>
                <w:szCs w:val="21"/>
              </w:rPr>
              <w:t>HR 0.71 (95% CI 0.49-1.03)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1881C" w14:textId="77777777" w:rsidR="001B5AE2" w:rsidRPr="00F13BAC" w:rsidRDefault="001B5AE2" w:rsidP="001B5AE2">
            <w:pPr>
              <w:wordWrap w:val="0"/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</w:pPr>
            <w:r w:rsidRPr="00F13BAC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10.1161/CIRCULATIONAHA.121.057095</w:t>
            </w:r>
          </w:p>
        </w:tc>
      </w:tr>
    </w:tbl>
    <w:p w14:paraId="544B4C3B" w14:textId="1A692F5B" w:rsidR="009D67C0" w:rsidRPr="00F13BAC" w:rsidRDefault="00CC7456" w:rsidP="001A49AA">
      <w:pPr>
        <w:spacing w:line="360" w:lineRule="auto"/>
        <w:rPr>
          <w:rFonts w:ascii="Times New Roman" w:hAnsi="Times New Roman" w:cs="Times New Roman"/>
        </w:rPr>
      </w:pPr>
      <w:r w:rsidRPr="00F13BAC">
        <w:rPr>
          <w:rFonts w:ascii="Times New Roman" w:hAnsi="Times New Roman" w:cs="Times New Roman"/>
        </w:rPr>
        <w:t>Note: *Data in the catheter ablation group.</w:t>
      </w:r>
    </w:p>
    <w:p w14:paraId="522F9966" w14:textId="484D9448" w:rsidR="009D67C0" w:rsidRPr="00F13BAC" w:rsidRDefault="009D67C0" w:rsidP="00F160A5">
      <w:pPr>
        <w:jc w:val="center"/>
        <w:rPr>
          <w:rFonts w:ascii="Times New Roman" w:hAnsi="Times New Roman" w:cs="Times New Roman"/>
        </w:rPr>
        <w:sectPr w:rsidR="009D67C0" w:rsidRPr="00F13BAC" w:rsidSect="00806A12">
          <w:type w:val="continuous"/>
          <w:pgSz w:w="16838" w:h="11906" w:orient="landscape"/>
          <w:pgMar w:top="1797" w:right="1440" w:bottom="1797" w:left="1440" w:header="851" w:footer="992" w:gutter="0"/>
          <w:cols w:space="425"/>
          <w:docGrid w:linePitch="326"/>
        </w:sectPr>
      </w:pPr>
      <w:r w:rsidRPr="00F13BAC">
        <w:rPr>
          <w:rFonts w:ascii="Times New Roman" w:hAnsi="Times New Roman" w:cs="Times New Roman"/>
        </w:rPr>
        <w:br w:type="page"/>
      </w:r>
    </w:p>
    <w:p w14:paraId="3F951BCC" w14:textId="4DA1CBB2" w:rsidR="00666167" w:rsidRPr="00D35775" w:rsidRDefault="000442F3" w:rsidP="00F160A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35775">
        <w:rPr>
          <w:rFonts w:ascii="Times New Roman" w:hAnsi="Times New Roman" w:cs="Times New Roman"/>
          <w:b/>
          <w:bCs/>
        </w:rPr>
        <w:lastRenderedPageBreak/>
        <w:t xml:space="preserve">Supplementary Table 3. </w:t>
      </w:r>
      <w:r w:rsidR="00163933" w:rsidRPr="00D35775">
        <w:rPr>
          <w:rFonts w:ascii="Times New Roman" w:hAnsi="Times New Roman" w:cs="Times New Roman"/>
          <w:b/>
          <w:bCs/>
        </w:rPr>
        <w:t>The r</w:t>
      </w:r>
      <w:r w:rsidR="00163933" w:rsidRPr="00D35775">
        <w:rPr>
          <w:rFonts w:ascii="Times New Roman" w:eastAsia="等线" w:hAnsi="Times New Roman" w:cs="Times New Roman"/>
          <w:b/>
          <w:bCs/>
          <w:color w:val="000000"/>
          <w:sz w:val="22"/>
          <w:szCs w:val="22"/>
        </w:rPr>
        <w:t>ecommendations of most-impact guidelines on AF catheter ablation in patients with HF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68"/>
        <w:gridCol w:w="7830"/>
        <w:gridCol w:w="1072"/>
        <w:gridCol w:w="1306"/>
        <w:gridCol w:w="1482"/>
      </w:tblGrid>
      <w:tr w:rsidR="00C86108" w:rsidRPr="00D35775" w14:paraId="72CF2BD8" w14:textId="77777777" w:rsidTr="00F54E77">
        <w:trPr>
          <w:trHeight w:val="278"/>
        </w:trPr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9CF0B" w14:textId="77777777" w:rsidR="0043668C" w:rsidRPr="00D35775" w:rsidRDefault="0043668C" w:rsidP="0043668C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35775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  <w:t>Guideline</w:t>
            </w:r>
          </w:p>
        </w:tc>
        <w:tc>
          <w:tcPr>
            <w:tcW w:w="28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8A726" w14:textId="483986D8" w:rsidR="0043668C" w:rsidRPr="00D35775" w:rsidRDefault="00163933" w:rsidP="0043668C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35775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  <w:t>Recommendations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12196" w14:textId="77777777" w:rsidR="0043668C" w:rsidRPr="00D35775" w:rsidRDefault="0043668C" w:rsidP="0043668C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35775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  <w:t>Class of recommendation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26DF4" w14:textId="77777777" w:rsidR="0043668C" w:rsidRPr="00D35775" w:rsidRDefault="0043668C" w:rsidP="0043668C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35775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  <w:t>Level of evidence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10A26" w14:textId="5EDD80D9" w:rsidR="0043668C" w:rsidRPr="00D35775" w:rsidRDefault="0043668C" w:rsidP="0043668C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35775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  <w:t>Meta-analyses cited</w:t>
            </w:r>
            <w:r w:rsidR="00ED6FBC" w:rsidRPr="00D35775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  <w:szCs w:val="22"/>
              </w:rPr>
              <w:t>*</w:t>
            </w:r>
          </w:p>
        </w:tc>
      </w:tr>
      <w:tr w:rsidR="00C86108" w:rsidRPr="0043668C" w14:paraId="6D301855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E7B8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2012 ESC guidelines on HF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4732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The role of catheter ablation as a rhythm control strategy in HF is at present uncertain.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F42B2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E9854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6BD7B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No</w:t>
            </w:r>
          </w:p>
        </w:tc>
      </w:tr>
      <w:tr w:rsidR="00C86108" w:rsidRPr="0043668C" w14:paraId="676068C3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706F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2012 update of ESC guidelines on AF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4064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In patients who suffer from symptomatic AF recurrences on amiodarone therapy, catheter ablation remains as the sole choice for escalated rhythm control therapy.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33603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EA54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97F2A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No</w:t>
            </w:r>
          </w:p>
        </w:tc>
      </w:tr>
      <w:tr w:rsidR="00C86108" w:rsidRPr="0043668C" w14:paraId="026EF650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005D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2013 ACCF/AHA guidelines on HF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F5D5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Not mentioned.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C492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2E6DC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6D3F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No</w:t>
            </w:r>
          </w:p>
        </w:tc>
      </w:tr>
      <w:tr w:rsidR="00C86108" w:rsidRPr="0043668C" w14:paraId="28352402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082B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2014 AHA/ACC/HRS guidelines on AF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40CC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Not mentioned.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C786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F2B6E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0D4D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No</w:t>
            </w:r>
          </w:p>
        </w:tc>
      </w:tr>
      <w:tr w:rsidR="00C86108" w:rsidRPr="0043668C" w14:paraId="68AA2A4A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1CE6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2016 ESC/EACTS guidelines on AF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5190" w14:textId="4ABCFFDA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 xml:space="preserve">AF ablation should be considered in symptomatic patients with AF and heart failure with reduced ejection fraction to improve symptoms and cardiac function when </w:t>
            </w:r>
            <w:proofErr w:type="spellStart"/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tachycardiomyopathy</w:t>
            </w:r>
            <w:proofErr w:type="spellEnd"/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 xml:space="preserve"> is suspected</w:t>
            </w:r>
            <w:r w:rsidR="00F54E77">
              <w:rPr>
                <w:rFonts w:ascii="Times New Roman" w:eastAsia="等线" w:hAnsi="Times New Roman" w:cs="Times New Roman" w:hint="eastAsia"/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C905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proofErr w:type="spellStart"/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IIa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59823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C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4FF5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26258174</w:t>
            </w:r>
          </w:p>
        </w:tc>
      </w:tr>
      <w:tr w:rsidR="00C86108" w:rsidRPr="0043668C" w14:paraId="282733AC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533D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2016 ESC guidelines on HF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3CC1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AF ablation may be considered in order to restore sinus rhythm to improve symptoms in patients with persisting symptoms and/or signs of HF, despite OMT and adequate control of ventricular rate, to improve clinical/symptomatic status.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79AE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IIb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B936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44E0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No</w:t>
            </w:r>
          </w:p>
        </w:tc>
      </w:tr>
      <w:tr w:rsidR="00C86108" w:rsidRPr="0043668C" w14:paraId="6C26C238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0F5A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2017ACC/AHA/HFSA update of guidelines on HF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79636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sz w:val="22"/>
                <w:szCs w:val="22"/>
              </w:rPr>
              <w:t>Not mentioned.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A5709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AE56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10AF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No</w:t>
            </w:r>
          </w:p>
        </w:tc>
      </w:tr>
      <w:tr w:rsidR="00C86108" w:rsidRPr="0043668C" w14:paraId="7C2FB08A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C479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2019AHA/ACC/HRS update of guidelines on AF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1F9C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AF catheter ablation may be reasonable in selected patients with symptomatic AF and HF with reduced left ventricular (LV) ejection fraction (</w:t>
            </w:r>
            <w:proofErr w:type="spellStart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HFrEF</w:t>
            </w:r>
            <w:proofErr w:type="spellEnd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) to potentially lower mortality rate and reduce hospitalization for HF.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92B8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IIb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57AA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DECA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26258174</w:t>
            </w:r>
          </w:p>
        </w:tc>
      </w:tr>
      <w:tr w:rsidR="00C86108" w:rsidRPr="0043668C" w14:paraId="36C7F2B4" w14:textId="77777777" w:rsidTr="00F54E77">
        <w:trPr>
          <w:trHeight w:val="278"/>
        </w:trPr>
        <w:tc>
          <w:tcPr>
            <w:tcW w:w="81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9113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2020 ESC/EACTS guidelines on AF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E51F4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AF catheter ablation is recommended to reverse LV dysfunction in AF patients when tachycardia-induced cardiomyopathy is highly probable, independent of their symptom status.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E57E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I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2E353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A4BE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22041335</w:t>
            </w:r>
          </w:p>
        </w:tc>
      </w:tr>
      <w:tr w:rsidR="00C86108" w:rsidRPr="0043668C" w14:paraId="748BBC3B" w14:textId="77777777" w:rsidTr="00F54E77">
        <w:trPr>
          <w:trHeight w:val="555"/>
        </w:trPr>
        <w:tc>
          <w:tcPr>
            <w:tcW w:w="8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6A986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2541F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AF catheter ablation should be considered in selected AF patients with HF with reduced LVEF to improve survival and reduce HF hospitalization.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E5F4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IIa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FA06C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46D3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26258174,30066291,30103676,30001942,29798790</w:t>
            </w:r>
          </w:p>
        </w:tc>
      </w:tr>
      <w:tr w:rsidR="00C86108" w:rsidRPr="0043668C" w14:paraId="43C3422D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0A63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lastRenderedPageBreak/>
              <w:t>2021 ESC guidelines on HF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8419F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In cases of a clear association between paroxysmal or persistent AF and worsening of HF symptoms, which persist despite MT, catheter ablation should be considered for the prevention or treatment of AF.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3972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IIa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853C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18D4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No</w:t>
            </w:r>
          </w:p>
        </w:tc>
      </w:tr>
      <w:tr w:rsidR="00C86108" w:rsidRPr="0043668C" w14:paraId="71E04900" w14:textId="77777777" w:rsidTr="00F54E77">
        <w:trPr>
          <w:trHeight w:val="278"/>
        </w:trPr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84ED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2022 ACC/AHA/HFSA guidelines on HF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43FF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For patients with HF and symptoms caused by AF, AF ablation is reasonable to improve symptoms and QOL.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8DEB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IIa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822A6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0F93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31298266</w:t>
            </w:r>
          </w:p>
        </w:tc>
      </w:tr>
      <w:tr w:rsidR="00C86108" w:rsidRPr="0043668C" w14:paraId="1D3B0B22" w14:textId="77777777" w:rsidTr="00F54E77">
        <w:trPr>
          <w:trHeight w:val="278"/>
        </w:trPr>
        <w:tc>
          <w:tcPr>
            <w:tcW w:w="81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5D7398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2023 ACC/AHA/ACCP/HRS guidelines on AF</w:t>
            </w:r>
          </w:p>
        </w:tc>
        <w:tc>
          <w:tcPr>
            <w:tcW w:w="2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6BF4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 xml:space="preserve">In appropriate patients with AF and </w:t>
            </w:r>
            <w:proofErr w:type="spellStart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HFrEF</w:t>
            </w:r>
            <w:proofErr w:type="spellEnd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 xml:space="preserve"> who are on GDMT, and with reasonable expectation of procedural benefit, catheter ablation is beneficial to improve symptoms, QOL, ventricular function, and cardiovascular outcomes.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5266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I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D5F7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4671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31298266,33628087,30583296</w:t>
            </w:r>
          </w:p>
        </w:tc>
      </w:tr>
      <w:tr w:rsidR="00C86108" w:rsidRPr="0043668C" w14:paraId="139E9A84" w14:textId="77777777" w:rsidTr="00F54E77">
        <w:trPr>
          <w:trHeight w:val="278"/>
        </w:trPr>
        <w:tc>
          <w:tcPr>
            <w:tcW w:w="8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26E606" w14:textId="77777777" w:rsidR="0043668C" w:rsidRPr="0043668C" w:rsidRDefault="0043668C" w:rsidP="0043668C">
            <w:pPr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369BE" w14:textId="77777777" w:rsidR="0043668C" w:rsidRPr="0043668C" w:rsidRDefault="0043668C" w:rsidP="00F54E77">
            <w:pPr>
              <w:jc w:val="both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 xml:space="preserve">In appropriate patients with symptomatic AF and </w:t>
            </w:r>
            <w:proofErr w:type="spellStart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HFpEF</w:t>
            </w:r>
            <w:proofErr w:type="spellEnd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 xml:space="preserve"> with reasonable expectation of benefit, catheter ablation can be useful to improve symptoms and improve QOL.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C77B7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IIa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96B37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2FE9C" w14:textId="77777777" w:rsidR="0043668C" w:rsidRPr="0043668C" w:rsidRDefault="0043668C" w:rsidP="00C86108">
            <w:pPr>
              <w:jc w:val="center"/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</w:pPr>
            <w:r w:rsidRPr="0043668C">
              <w:rPr>
                <w:rFonts w:ascii="Times New Roman" w:eastAsia="等线" w:hAnsi="Times New Roman" w:cs="Times New Roman"/>
                <w:color w:val="000000"/>
                <w:sz w:val="22"/>
                <w:szCs w:val="22"/>
              </w:rPr>
              <w:t>No</w:t>
            </w:r>
          </w:p>
        </w:tc>
      </w:tr>
    </w:tbl>
    <w:p w14:paraId="4A585DFC" w14:textId="4B5C169F" w:rsidR="008F309B" w:rsidRDefault="008F309B" w:rsidP="00412A09">
      <w:pPr>
        <w:spacing w:line="360" w:lineRule="auto"/>
        <w:rPr>
          <w:rFonts w:ascii="Times New Roman" w:hAnsi="Times New Roman" w:cs="Times New Roman"/>
        </w:rPr>
      </w:pPr>
      <w:r w:rsidRPr="00F13BAC">
        <w:rPr>
          <w:rFonts w:ascii="Times New Roman" w:hAnsi="Times New Roman" w:cs="Times New Roman"/>
        </w:rPr>
        <w:t>Note: *</w:t>
      </w:r>
      <w:r w:rsidR="005143E6">
        <w:rPr>
          <w:rFonts w:ascii="Times New Roman" w:hAnsi="Times New Roman" w:cs="Times New Roman"/>
        </w:rPr>
        <w:t xml:space="preserve">PubMed </w:t>
      </w:r>
      <w:r w:rsidRPr="00F13BAC">
        <w:rPr>
          <w:rFonts w:ascii="Times New Roman" w:hAnsi="Times New Roman" w:cs="Times New Roman"/>
        </w:rPr>
        <w:t>ID.</w:t>
      </w:r>
    </w:p>
    <w:p w14:paraId="7AE1D589" w14:textId="6D7C289B" w:rsidR="00D35775" w:rsidRPr="00F13BAC" w:rsidRDefault="00D35775" w:rsidP="00412A09">
      <w:pPr>
        <w:spacing w:line="360" w:lineRule="auto"/>
        <w:rPr>
          <w:rFonts w:ascii="Times New Roman" w:hAnsi="Times New Roman" w:cs="Times New Roman"/>
        </w:rPr>
      </w:pPr>
    </w:p>
    <w:sectPr w:rsidR="00D35775" w:rsidRPr="00F13BAC" w:rsidSect="00806A12">
      <w:type w:val="continuous"/>
      <w:pgSz w:w="16838" w:h="11906" w:orient="landscape"/>
      <w:pgMar w:top="1797" w:right="1440" w:bottom="1797" w:left="144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8424B" w14:textId="77777777" w:rsidR="00CB16EF" w:rsidRDefault="00CB16EF" w:rsidP="001A49AA">
      <w:r>
        <w:separator/>
      </w:r>
    </w:p>
  </w:endnote>
  <w:endnote w:type="continuationSeparator" w:id="0">
    <w:p w14:paraId="0535B98A" w14:textId="77777777" w:rsidR="00CB16EF" w:rsidRDefault="00CB16EF" w:rsidP="001A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C4A53" w14:textId="77777777" w:rsidR="00CB16EF" w:rsidRDefault="00CB16EF" w:rsidP="001A49AA">
      <w:r>
        <w:separator/>
      </w:r>
    </w:p>
  </w:footnote>
  <w:footnote w:type="continuationSeparator" w:id="0">
    <w:p w14:paraId="4D2B7E0C" w14:textId="77777777" w:rsidR="00CB16EF" w:rsidRDefault="00CB16EF" w:rsidP="001A4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0C5"/>
    <w:rsid w:val="00003C5D"/>
    <w:rsid w:val="000045FE"/>
    <w:rsid w:val="000442F3"/>
    <w:rsid w:val="00072A5D"/>
    <w:rsid w:val="000963B8"/>
    <w:rsid w:val="000A0EDF"/>
    <w:rsid w:val="000B3CAA"/>
    <w:rsid w:val="000C68DB"/>
    <w:rsid w:val="00163933"/>
    <w:rsid w:val="00173CD9"/>
    <w:rsid w:val="001A49AA"/>
    <w:rsid w:val="001B5AE2"/>
    <w:rsid w:val="001F0C34"/>
    <w:rsid w:val="002403BA"/>
    <w:rsid w:val="00260420"/>
    <w:rsid w:val="0028299F"/>
    <w:rsid w:val="002A4590"/>
    <w:rsid w:val="002A63B5"/>
    <w:rsid w:val="002B28D6"/>
    <w:rsid w:val="002E76BB"/>
    <w:rsid w:val="00304564"/>
    <w:rsid w:val="003121A8"/>
    <w:rsid w:val="003200C5"/>
    <w:rsid w:val="0034064A"/>
    <w:rsid w:val="00372C47"/>
    <w:rsid w:val="003A288E"/>
    <w:rsid w:val="003A798E"/>
    <w:rsid w:val="00412A09"/>
    <w:rsid w:val="00415CAB"/>
    <w:rsid w:val="0043668C"/>
    <w:rsid w:val="00456804"/>
    <w:rsid w:val="00482C8A"/>
    <w:rsid w:val="004A2AAD"/>
    <w:rsid w:val="004A78F5"/>
    <w:rsid w:val="004B6232"/>
    <w:rsid w:val="004F2C7C"/>
    <w:rsid w:val="00501172"/>
    <w:rsid w:val="005143E6"/>
    <w:rsid w:val="005400C3"/>
    <w:rsid w:val="005565B3"/>
    <w:rsid w:val="00560E2E"/>
    <w:rsid w:val="005778FA"/>
    <w:rsid w:val="005906BE"/>
    <w:rsid w:val="0059376F"/>
    <w:rsid w:val="005B5AA4"/>
    <w:rsid w:val="005C0CAA"/>
    <w:rsid w:val="005C7719"/>
    <w:rsid w:val="005D1D6D"/>
    <w:rsid w:val="005D7EC4"/>
    <w:rsid w:val="00607D9C"/>
    <w:rsid w:val="00616184"/>
    <w:rsid w:val="0066115F"/>
    <w:rsid w:val="00666167"/>
    <w:rsid w:val="006D2CC6"/>
    <w:rsid w:val="00705C01"/>
    <w:rsid w:val="007166B0"/>
    <w:rsid w:val="007346B9"/>
    <w:rsid w:val="00736DB6"/>
    <w:rsid w:val="00753124"/>
    <w:rsid w:val="00771A0A"/>
    <w:rsid w:val="00775428"/>
    <w:rsid w:val="00794303"/>
    <w:rsid w:val="007B4E1B"/>
    <w:rsid w:val="007C2829"/>
    <w:rsid w:val="007F10CB"/>
    <w:rsid w:val="00801C68"/>
    <w:rsid w:val="00806A12"/>
    <w:rsid w:val="00831EF1"/>
    <w:rsid w:val="008368F5"/>
    <w:rsid w:val="008530A5"/>
    <w:rsid w:val="00877538"/>
    <w:rsid w:val="008852CA"/>
    <w:rsid w:val="008B69EE"/>
    <w:rsid w:val="008B7A08"/>
    <w:rsid w:val="008F309B"/>
    <w:rsid w:val="00921589"/>
    <w:rsid w:val="00926813"/>
    <w:rsid w:val="00931A72"/>
    <w:rsid w:val="00947DEA"/>
    <w:rsid w:val="00964206"/>
    <w:rsid w:val="00985C5C"/>
    <w:rsid w:val="009C6731"/>
    <w:rsid w:val="009D3BEC"/>
    <w:rsid w:val="009D67C0"/>
    <w:rsid w:val="009E2773"/>
    <w:rsid w:val="009F12E5"/>
    <w:rsid w:val="00A22356"/>
    <w:rsid w:val="00A34D07"/>
    <w:rsid w:val="00A371BA"/>
    <w:rsid w:val="00A44934"/>
    <w:rsid w:val="00A53063"/>
    <w:rsid w:val="00A95049"/>
    <w:rsid w:val="00AA55BF"/>
    <w:rsid w:val="00AB1C61"/>
    <w:rsid w:val="00AC124D"/>
    <w:rsid w:val="00AF1C0E"/>
    <w:rsid w:val="00B4656D"/>
    <w:rsid w:val="00BA53CC"/>
    <w:rsid w:val="00BE1036"/>
    <w:rsid w:val="00BE2DB1"/>
    <w:rsid w:val="00C04450"/>
    <w:rsid w:val="00C04F93"/>
    <w:rsid w:val="00C521B6"/>
    <w:rsid w:val="00C75A62"/>
    <w:rsid w:val="00C76EDE"/>
    <w:rsid w:val="00C804C0"/>
    <w:rsid w:val="00C86108"/>
    <w:rsid w:val="00C90F8A"/>
    <w:rsid w:val="00C9442E"/>
    <w:rsid w:val="00CA1F71"/>
    <w:rsid w:val="00CA6734"/>
    <w:rsid w:val="00CB16EF"/>
    <w:rsid w:val="00CB31D2"/>
    <w:rsid w:val="00CC5229"/>
    <w:rsid w:val="00CC7456"/>
    <w:rsid w:val="00CD2D5C"/>
    <w:rsid w:val="00D009FF"/>
    <w:rsid w:val="00D243D2"/>
    <w:rsid w:val="00D35775"/>
    <w:rsid w:val="00D37A89"/>
    <w:rsid w:val="00D47868"/>
    <w:rsid w:val="00D7421C"/>
    <w:rsid w:val="00D83893"/>
    <w:rsid w:val="00DB65F8"/>
    <w:rsid w:val="00DC3286"/>
    <w:rsid w:val="00DE3416"/>
    <w:rsid w:val="00DE42E4"/>
    <w:rsid w:val="00E029A2"/>
    <w:rsid w:val="00E20FA2"/>
    <w:rsid w:val="00E31688"/>
    <w:rsid w:val="00E35B75"/>
    <w:rsid w:val="00E43258"/>
    <w:rsid w:val="00E534FE"/>
    <w:rsid w:val="00E5653E"/>
    <w:rsid w:val="00E87818"/>
    <w:rsid w:val="00EA28A6"/>
    <w:rsid w:val="00EA36AA"/>
    <w:rsid w:val="00EB3E6B"/>
    <w:rsid w:val="00ED6FBC"/>
    <w:rsid w:val="00EF1119"/>
    <w:rsid w:val="00EF5D66"/>
    <w:rsid w:val="00F12105"/>
    <w:rsid w:val="00F13BAC"/>
    <w:rsid w:val="00F160A5"/>
    <w:rsid w:val="00F163B4"/>
    <w:rsid w:val="00F24022"/>
    <w:rsid w:val="00F305C0"/>
    <w:rsid w:val="00F40680"/>
    <w:rsid w:val="00F54E77"/>
    <w:rsid w:val="00F70AC3"/>
    <w:rsid w:val="00F96739"/>
    <w:rsid w:val="00FA6FFF"/>
    <w:rsid w:val="00FD6D4D"/>
    <w:rsid w:val="00FF762B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CC6B67"/>
  <w15:chartTrackingRefBased/>
  <w15:docId w15:val="{4BA44EA1-AEDA-4ACA-AAE0-4A278719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934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49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49A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49AA"/>
    <w:rPr>
      <w:sz w:val="18"/>
      <w:szCs w:val="18"/>
    </w:rPr>
  </w:style>
  <w:style w:type="table" w:styleId="a7">
    <w:name w:val="Table Grid"/>
    <w:basedOn w:val="a1"/>
    <w:rsid w:val="00C804C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rm">
    <w:name w:val="term"/>
    <w:basedOn w:val="a0"/>
    <w:rsid w:val="0059376F"/>
  </w:style>
  <w:style w:type="character" w:styleId="a8">
    <w:name w:val="annotation reference"/>
    <w:basedOn w:val="a0"/>
    <w:uiPriority w:val="99"/>
    <w:semiHidden/>
    <w:unhideWhenUsed/>
    <w:rsid w:val="000045FE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0045FE"/>
  </w:style>
  <w:style w:type="character" w:customStyle="1" w:styleId="aa">
    <w:name w:val="批注文字 字符"/>
    <w:basedOn w:val="a0"/>
    <w:link w:val="a9"/>
    <w:uiPriority w:val="99"/>
    <w:semiHidden/>
    <w:rsid w:val="000045FE"/>
    <w:rPr>
      <w:rFonts w:ascii="宋体" w:eastAsia="宋体" w:hAnsi="宋体" w:cs="宋体"/>
      <w:kern w:val="0"/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045FE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0045FE"/>
    <w:rPr>
      <w:rFonts w:ascii="宋体" w:eastAsia="宋体" w:hAnsi="宋体" w:cs="宋体"/>
      <w:b/>
      <w:bCs/>
      <w:kern w:val="0"/>
      <w:sz w:val="24"/>
      <w:szCs w:val="24"/>
    </w:rPr>
  </w:style>
  <w:style w:type="character" w:styleId="ad">
    <w:name w:val="Hyperlink"/>
    <w:basedOn w:val="a0"/>
    <w:uiPriority w:val="99"/>
    <w:unhideWhenUsed/>
    <w:rsid w:val="0066115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611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5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EB0B5-3120-4B96-B924-2213110B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1031</Words>
  <Characters>5879</Characters>
  <Application>Microsoft Office Word</Application>
  <DocSecurity>0</DocSecurity>
  <Lines>48</Lines>
  <Paragraphs>13</Paragraphs>
  <ScaleCrop>false</ScaleCrop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Shang Luxiang</dc:creator>
  <cp:keywords/>
  <dc:description/>
  <cp:lastModifiedBy>Edtior</cp:lastModifiedBy>
  <cp:revision>133</cp:revision>
  <cp:lastPrinted>2024-05-31T01:59:00Z</cp:lastPrinted>
  <dcterms:created xsi:type="dcterms:W3CDTF">2022-06-27T03:52:00Z</dcterms:created>
  <dcterms:modified xsi:type="dcterms:W3CDTF">2024-05-31T01:59:00Z</dcterms:modified>
</cp:coreProperties>
</file>